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AsylVfG 1992 — Entscheidung des Bundesamtes über Asylanträge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Im Einklang mit Artikel 36 Absatz 1 der Verordnung (EU) 2024/1348 sind Entscheidungen, die der Anfechtung unterliegen, den Beteiligten unverzüglich zuzustellen.</w:t>
      </w:r>
    </w:p>
    <w:p>
      <w:r>
        <w:t xml:space="preserve">(2) In Entscheidungen über zulässige Asylanträge ist ausdrücklich festzustellen, ob dem Ausländer die Flüchtlingseigenschaft oder der Status subsidiären Schutzes zuerkannt wird und ob er als Asylberechtigter anerkannt wird. In den Fällen des § 13 Absatz 1 Satz 1 ist nur über den beschränkten Antrag zu entscheiden.</w:t>
      </w:r>
    </w:p>
    <w:p>
      <w:r>
        <w:t xml:space="preserve">(3) In den Fällen des Absatzes 2 und in Entscheidungen über unzulässige Asylanträge ist festzustellen, ob die Voraussetzungen des § 60 Absatz 5 oder 7 des Aufenthaltsgesetzes vorliegen. Davon kann abgesehen werden, wenn der Ausländer als Asylberechtigter anerkannt wird oder ihm internationaler Schutz im Sinne des § 1 Absatz 1 Nummer 2 zuerkannt wird. Von der Feststellung nach Satz 1 kann auch abgesehen werden, wenn das Bundesamt in einem früheren Verfahren über das Vorliegen der Voraussetzungen des § 60 Absatz 5 und 7 des Aufenthaltsgesetzes entschieden hat und die Voraussetzungen des § 51 Absatz 1 bis 3 des Verwaltungsverfahrensgesetzes nicht vorliegen.</w:t>
      </w:r>
    </w:p>
    <w:p>
      <w:r>
        <w:t xml:space="preserve">(3) In der Entscheidung des Bundesamtes ist die AZR-Nummer nach § 3 Absatz 1 Nummer 2 des Gesetzes über das Ausländerzentralregister zu nennen.</w:t>
      </w:r>
    </w:p>
    <w:p>
      <w:r>
        <w:t xml:space="preserve">(4) Das Bundesamt unterrichtet die Ausländerbehörde unverzüglich über</w:t>
      </w:r>
    </w:p>
    <w:p>
      <w:pPr>
        <w:ind w:left="420"/>
      </w:pPr>
      <w:r>
        <w:t xml:space="preserve">1. die getroffene Entscheidung und</w:t>
      </w:r>
    </w:p>
    <w:p>
      <w:pPr>
        <w:ind w:left="420"/>
      </w:pPr>
      <w:r>
        <w:t xml:space="preserve">2. von dem Ausländer vorgetragene oder sonst erkennbare Gründe,</w:t>
      </w:r>
    </w:p>
    <w:p>
      <w:pPr>
        <w:ind w:left="780"/>
      </w:pPr>
      <w:r>
        <w:t xml:space="preserve">a) die für eine Aussetzung der Abschiebung sprechen, insbesondere über die Notwendigkeit, die für eine Rückführung erforderlichen Dokumente zu beschaffen, oder</w:t>
      </w:r>
    </w:p>
    <w:p>
      <w:pPr>
        <w:ind w:left="780"/>
      </w:pPr>
      <w:r>
        <w:t xml:space="preserve">b) die nach § 25 Absatz 3 Satz 2 Nummer 1 bis 4 des Aufenthaltsgesetzes der Erteilung einer Aufenthaltserlaubnis entgegenstehen könnten.</w:t>
      </w:r>
    </w:p>
    <w:p>
      <w:r>
        <w:rPr>
          <w:color w:val="555555"/>
          <w:sz w:val="17"/>
        </w:rPr>
        <w:t xml:space="preserve">Zitiervorschlag: § 31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