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AsylVfG 1992 — Zuerkennung des internationalen Schutzes</w:t>
      </w:r>
    </w:p>
    <w:p>
      <w:r>
        <w:rPr>
          <w:color w:val="555555"/>
          <w:sz w:val="18"/>
        </w:rPr>
        <w:t xml:space="preserve">Asylgesetz</w:t>
      </w:r>
    </w:p>
    <w:p>
      <w:r>
        <w:rPr>
          <w:color w:val="555555"/>
          <w:sz w:val="18"/>
        </w:rPr>
        <w:t xml:space="preserve">Stand: 12.06.2026 (konsolidierte Textfassung, kein amtliches Inkrafttretensdatum)</w:t>
      </w:r>
    </w:p>
    <w:p>
      <w:r>
        <w:t xml:space="preserve">Die Zuerkennung des internationalen Schutzes richtet sich nach den Kapiteln III bis VI der Verordnung (EU) 2024/1347. Hinsichtlich der Anwendung von Artikel 14 Absatz 2 der Verordnung (EU) 2024/1347 ist eine besonders schwere Straftat im Sinne des Artikels 14 Absatz 1 Buchstabe e der Verordnung (EU) 2024/1347 anzunehmen, wenn die in § 60 Absatz 8 Nummer 2 des Aufenthaltsgesetzes genannten Voraussetzungen vorliegen oder das Bundesamt nach § 60 Absatz 8a oder 8b des Aufenthaltsgesetzes von der Anwendung des § 60 Absatz 1 des Aufenthaltsgesetzes abgesehen hat.</w:t>
      </w:r>
    </w:p>
    <w:p>
      <w:r>
        <w:rPr>
          <w:color w:val="555555"/>
          <w:sz w:val="17"/>
        </w:rPr>
        <w:t xml:space="preserve">Zitiervorschlag: § 3 AsylVfG 1992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https://recht.nulegal.eu/gesetze/AsylVfG%201992/3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