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AsylVfG 1992 — Sichere Drittstaaten im Sinne des Artikels 16a Absatz 2 des Grundgesetzes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Ein Ausländer, der aus einem Drittstaat im Sinne des Artikels 16a Absatz 2 Satz 1 des Grundgesetzes eingereist ist, kann sich nicht auf Artikel 16a Absatz 1 des Grundgesetzes berufen. Er wird nicht als Asylberechtigter anerkannt. Satz 1 gilt nicht, wenn</w:t>
      </w:r>
    </w:p>
    <w:p>
      <w:pPr>
        <w:ind w:left="420"/>
      </w:pPr>
      <w:r>
        <w:t xml:space="preserve">1. der Ausländer im Zeitpunkt seiner Einreise in den sicheren Drittstaat im Besitz eines Aufenthaltstitels für die Bundesrepublik Deutschland war,</w:t>
      </w:r>
    </w:p>
    <w:p>
      <w:pPr>
        <w:ind w:left="420"/>
      </w:pPr>
      <w:r>
        <w:t xml:space="preserve">2. die Bundesrepublik Deutschland auf Grund von Rechtsvorschriften der Europäischen Union oder eines völkerrechtlichen Vertrages mit dem sicheren Drittstaat für die Durchführung des Asylverfahrens zuständig ist oder</w:t>
      </w:r>
    </w:p>
    <w:p>
      <w:pPr>
        <w:ind w:left="420"/>
      </w:pPr>
      <w:r>
        <w:t xml:space="preserve">3. der Ausländer auf Grund einer Anordnung nach § 18 Abs. 4 Nr. 2 nicht zurückgewiesen oder zurückgeschoben worden ist.</w:t>
      </w:r>
    </w:p>
    <w:p>
      <w:r>
        <w:t xml:space="preserve">(2) Sichere Drittstaaten im Sinne des Artikels 16a Absatz 2 des Grundgesetzes sind außer den Mitgliedstaaten der Europäischen Union die in Anlage I bezeichneten Staaten.</w:t>
      </w:r>
    </w:p>
    <w:p>
      <w:r>
        <w:t xml:space="preserve">(3) Die Bundesregierung bestimmt durch Rechtsverordnung ohne Zustimmung des Bundesrates, dass ein in Anlage I bezeichneter Staat nicht mehr als sicherer Drittstaat gilt, wenn Veränderungen in den rechtlichen oder politischen Verhältnissen dieses Staates die Annahme begründen, dass die in Artikel 16a Abs. 2 Satz 1 des Grundgesetzes bezeichneten Voraussetzungen entfallen sind. Die Verordnung tritt spätestens sechs Monate nach ihrem Inkrafttreten außer Kraft.</w:t>
      </w:r>
    </w:p>
    <w:p>
      <w:r>
        <w:rPr>
          <w:color w:val="555555"/>
          <w:sz w:val="17"/>
        </w:rPr>
        <w:t xml:space="preserve">Zitiervorschlag: § 26a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