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AsylVfG 1992 — Verwahrung und Weitergabe von Unterlagen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Die Behörden, die den Ausländer an eine Aufnahmeeinrichtung weiterleiten, nehmen die in § 15 Absatz 2 Nummer 4 und 5 bezeichneten Unterlagen in Verwahrung und leiten sie unverzüglich der Aufnahmeeinrichtung zu.</w:t>
      </w:r>
    </w:p>
    <w:p>
      <w:r>
        <w:t xml:space="preserve">(2) Meldet sich der Ausländer unmittelbar bei der für seine Aufnahme zuständigen Aufnahmeeinrichtung, nimmt diese die Unterlagen in Verwahrung.</w:t>
      </w:r>
    </w:p>
    <w:p>
      <w:r>
        <w:t xml:space="preserve">(3) Die für die Aufnahme des Ausländers zuständige Aufnahmeeinrichtung leitet die Unterlagen unverzüglich der ihr zugeordneten Außenstelle des Bundesamtes zu.</w:t>
      </w:r>
    </w:p>
    <w:p>
      <w:r>
        <w:t xml:space="preserve">(4) Die Unterlagen sind dem Ausländer wieder auszuhändigen, wenn sie für die weitere Durchführung des Asylverfahrens oder für aufenthaltsbeendende Maßnahmen nicht mehr benötigt werden.</w:t>
      </w:r>
    </w:p>
    <w:p>
      <w:r>
        <w:rPr>
          <w:color w:val="555555"/>
          <w:sz w:val="17"/>
        </w:rPr>
        <w:t xml:space="preserve">Zitiervorschlag: § 21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