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AsylVfG 1992 — Weiterleitung an eine Aufnahmeeinrichtung</w:t>
      </w:r>
    </w:p>
    <w:p>
      <w:r>
        <w:rPr>
          <w:color w:val="555555"/>
          <w:sz w:val="18"/>
        </w:rPr>
        <w:t xml:space="preserve">Asylgesetz</w:t>
      </w:r>
    </w:p>
    <w:p>
      <w:r>
        <w:rPr>
          <w:color w:val="555555"/>
          <w:sz w:val="18"/>
        </w:rPr>
        <w:t xml:space="preserve">Stand: 12.06.2026 (konsolidierte Textfassung, kein amtliches Inkrafttretensdatum)</w:t>
      </w:r>
    </w:p>
    <w:p>
      <w:r>
        <w:t xml:space="preserve">(1) Der Ausländer ist verpflichtet, der Weiterleitung nach § 18 Absatz 1 oder § 19 Absatz 1 unverzüglich oder bis zu einem ihm von der Behörde genannten Zeitpunkt zu folgen. Kommt der Ausländer der Verpflichtung nach Satz 1 nicht nach, gilt der Asylantrag nach Ablauf von fünf Tagen als nicht gestellt.</w:t>
      </w:r>
    </w:p>
    <w:p>
      <w:r>
        <w:t xml:space="preserve">(2) Die Behörde, die den Ausländer an eine Aufnahmeeinrichtung weiterleitet, teilt dieser unverzüglich die Weiterleitung und die Stellung des Asylantrags schriftlich mit. Die Aufnahmeeinrichtung unterrichtet unverzüglich, spätestens nach Ablauf einer Woche nach Eingang der Mitteilung nach Satz 1, die ihr zugeordnete Außenstelle des Bundesamtes darüber, ob der Ausländer in der Aufnahmeeinrichtung aufgenommen worden ist, und leitet ihr die Mitteilung nach Satz 1 zu.</w:t>
      </w:r>
    </w:p>
    <w:p>
      <w:r>
        <w:rPr>
          <w:color w:val="555555"/>
          <w:sz w:val="17"/>
        </w:rPr>
        <w:t xml:space="preserve">Zitiervorschlag: § 20 AsylVfG 1992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https://recht.nulegal.eu/gesetze/AsylVfG%201992/20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