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AsylVfG 1992 — Rechtsstellung Asylberechtigter</w:t>
      </w:r>
    </w:p>
    <w:p>
      <w:r>
        <w:rPr>
          <w:color w:val="555555"/>
          <w:sz w:val="18"/>
        </w:rPr>
        <w:t xml:space="preserve">Asylgesetz</w:t>
      </w:r>
    </w:p>
    <w:p>
      <w:r>
        <w:rPr>
          <w:color w:val="555555"/>
          <w:sz w:val="18"/>
        </w:rPr>
        <w:t xml:space="preserve">Stand: 12.06.2026 (konsolidierte Textfassung, kein amtliches Inkrafttretensdatum)</w:t>
      </w:r>
    </w:p>
    <w:p>
      <w:r>
        <w:t xml:space="preserve">(1) Asylberechtigte genießen im Bundesgebiet die Rechtsstellung nach dem Abkommen über die Rechtsstellung der Flüchtlinge.</w:t>
      </w:r>
    </w:p>
    <w:p>
      <w:r>
        <w:t xml:space="preserve">(2) Für das Verfahren zur Prüfung der Anerkennung der Asylberechtigung finden die verfahrensbezogenen Regelungen der Verordnungen</w:t>
      </w:r>
    </w:p>
    <w:p>
      <w:pPr>
        <w:ind w:left="420"/>
      </w:pPr>
      <w:r>
        <w:t xml:space="preserve">1. (EU) 2024/1347,</w:t>
      </w:r>
    </w:p>
    <w:p>
      <w:pPr>
        <w:ind w:left="420"/>
      </w:pPr>
      <w:r>
        <w:t xml:space="preserve">2. (EU) 2024/1348,</w:t>
      </w:r>
    </w:p>
    <w:p>
      <w:pPr>
        <w:ind w:left="420"/>
      </w:pPr>
      <w:r>
        <w:t xml:space="preserve">3. (EU) 2024/1349,</w:t>
      </w:r>
    </w:p>
    <w:p>
      <w:pPr>
        <w:ind w:left="420"/>
      </w:pPr>
      <w:r>
        <w:t xml:space="preserve">4. (EU) 2024/1351,</w:t>
      </w:r>
    </w:p>
    <w:p>
      <w:pPr>
        <w:ind w:left="420"/>
      </w:pPr>
      <w:r>
        <w:t xml:space="preserve">5. (EU) 2024/1352,</w:t>
      </w:r>
    </w:p>
    <w:p>
      <w:pPr>
        <w:ind w:left="420"/>
      </w:pPr>
      <w:r>
        <w:t xml:space="preserve">6. (EU) 2024/1356,</w:t>
      </w:r>
    </w:p>
    <w:p>
      <w:pPr>
        <w:ind w:left="420"/>
      </w:pPr>
      <w:r>
        <w:t xml:space="preserve">7. (EU) 2024/1358 und</w:t>
      </w:r>
    </w:p>
    <w:p>
      <w:pPr>
        <w:ind w:left="420"/>
      </w:pPr>
      <w:r>
        <w:t xml:space="preserve">8. (EU) 2024/1359</w:t>
      </w:r>
    </w:p>
    <w:p>
      <w:r>
        <w:t xml:space="preserve">entsprechende Anwendung, soweit in Artikel 16a des Grundgesetzes, in diesem Gesetz oder anderen Rechtsvorschriften keine abweichenden Regelungen getroffen werden.</w:t>
      </w:r>
    </w:p>
    <w:p>
      <w:r>
        <w:t xml:space="preserve">(3) Ausländer, denen bis zum Wirksamwerden des Beitritts in dem in Artikel 3 des Einigungsvertrages genannten Gebiet Asyl gewährt worden ist, gelten als Asylberechtigte.</w:t>
      </w:r>
    </w:p>
    <w:p>
      <w:r>
        <w:rPr>
          <w:color w:val="555555"/>
          <w:sz w:val="17"/>
        </w:rPr>
        <w:t xml:space="preserve">Zitiervorschlag: § 2 AsylVfG 1992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https://recht.nulegal.eu/gesetze/AsylVfG%201992/2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