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14a AsylVfG 1992 — Familieneinheit</w:t>
      </w:r>
    </w:p>
    <w:p>
      <w:r>
        <w:rPr>
          <w:color w:val="555555"/>
          <w:sz w:val="18"/>
        </w:rPr>
        <w:t xml:space="preserve">Asylgesetz</w:t>
      </w:r>
    </w:p>
    <w:p>
      <w:r>
        <w:rPr>
          <w:color w:val="555555"/>
          <w:sz w:val="18"/>
        </w:rPr>
        <w:t xml:space="preserve">Außer Kraft: § 14a ist seit 12.06.2026 nicht mehr im AsylVfG 1992 enthalten. Angezeigt wird die letzte bekannte Fassung, Stand 10.06.2019.</w:t>
      </w:r>
    </w:p>
    <w:p>
      <w:r>
        <w:t xml:space="preserve">(1) Mit der Asylantragstellung nach § 14 gilt ein Asylantrag auch für jedes minderjährige ledige Kind des Ausländers als gestellt, das sich zu diesem Zeitpunkt im Bundesgebiet aufhält, ohne freizügigkeitsberechtigt oder im Besitz eines Aufenthaltstitels zu sein, wenn es zuvor noch keinen Asylantrag gestellt hatte.</w:t>
      </w:r>
    </w:p>
    <w:p>
      <w:r>
        <w:t xml:space="preserve">(2) Reist ein minderjähriges lediges Kind des Ausländers nach dessen Asylantragstellung ins Bundesgebiet ein oder wird es hier geboren, so ist dies dem Bundesamt unverzüglich anzuzeigen, wenn ein Elternteil eine Aufenthaltsgestattung besitzt oder sich nach Abschluss seines Asylverfahrens ohne Aufenthaltstitel oder mit einer Aufenthaltserlaubnis nach § 25 Abs. 5 des Aufenthaltsgesetzes im Bundesgebiet aufhält. Die Anzeigepflicht obliegt neben dem Vertreter des Kindes im Sinne von § 12 Abs. 3 auch der Ausländerbehörde. Mit Zugang der Anzeige beim Bundesamt gilt ein Asylantrag für das Kind als gestellt.</w:t>
      </w:r>
    </w:p>
    <w:p>
      <w:r>
        <w:t xml:space="preserve">(3) Der Vertreter des Kindes im Sinne von § 12 Abs. 3 kann bis zur Zustellung der Entscheidung des Bundesamtes auf die Durchführung eines Asylverfahrens für das Kind verzichten, indem er erklärt, dass dem Kind keine Verfolgung im Sinne des § 3 Absatz 1 und kein ernsthafter Schaden im Sinne des § 4 Absatz 1 drohen. § 13 Absatz 2 Satz 2 gilt entsprechend.</w:t>
      </w:r>
    </w:p>
    <w:p>
      <w:r>
        <w:t xml:space="preserve">(4) Die Absätze 1 bis 3 sind auch anzuwenden, wenn der Asylantrag vor dem 1. Januar 2005 gestellt worden ist und das Kind sich zu diesem Zeitpunkt im Bundesgebiet aufgehalten hat, später eingereist ist oder hier geboren wurde.</w:t>
      </w:r>
    </w:p>
    <w:p>
      <w:r>
        <w:rPr>
          <w:color w:val="555555"/>
          <w:sz w:val="17"/>
        </w:rPr>
        <w:t xml:space="preserve">Zitiervorschlag: § 14a AsylVfG 1992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https://recht.nulegal.eu/gesetze/AsylVfG%201992/14a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