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AsylVfG 1992 — Stellung eines Asylantrags</w:t>
      </w:r>
    </w:p>
    <w:p>
      <w:r>
        <w:rPr>
          <w:color w:val="555555"/>
          <w:sz w:val="18"/>
        </w:rPr>
        <w:t xml:space="preserve">Asylgesetz</w:t>
      </w:r>
    </w:p>
    <w:p>
      <w:r>
        <w:rPr>
          <w:color w:val="555555"/>
          <w:sz w:val="18"/>
        </w:rPr>
        <w:t xml:space="preserve">Stand: 12.06.2026 (konsolidierte Textfassung, kein amtliches Inkrafttretensdatum)</w:t>
      </w:r>
    </w:p>
    <w:p>
      <w:r>
        <w:t xml:space="preserve">(1) Der Ausländer kann den Asylantrag auf die Zuerkennung internationalen Schutzes beschränken. Er ist über die Folgen einer Beschränkung des Antrags zu belehren.</w:t>
      </w:r>
    </w:p>
    <w:p>
      <w:r>
        <w:t xml:space="preserve">(2) Ein Ausländer, der nicht im Besitz der erforderlichen Einreisepapiere ist, hat den Asylantrag bei der Grenzbehörde zu stellen (§ 18). Im Falle der unerlaubten Einreise hat er sich unverzüglich bei einer Aufnahmeeinrichtung zu melden (§ 22) oder bei der Ausländerbehörde oder der Polizei den Asylantrag zu stellen (§ 19).</w:t>
      </w:r>
    </w:p>
    <w:p>
      <w:r>
        <w:rPr>
          <w:color w:val="555555"/>
          <w:sz w:val="17"/>
        </w:rPr>
        <w:t xml:space="preserve">Zitiervorschlag: § 13 AsylVfG 1992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https://recht.nulegal.eu/gesetze/AsylVfG%201992/13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