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AsphAusbV — Berichtsheft</w:t>
      </w:r>
    </w:p>
    <w:p>
      <w:r>
        <w:rPr>
          <w:color w:val="555555"/>
          <w:sz w:val="18"/>
        </w:rPr>
        <w:t xml:space="preserve">Asphaltbauer-Ausbildungsverordnung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Auszubildende hat ein Berichtsheft in Form eines Ausbildungsnachweises zu führen. Ihm ist Gelegenheit zu geben, das Berichtsheft während der Ausbildungszeit zu führen. Der Ausbildende hat das Berichtsheft regelmäßig durchzusehen.</w:t>
      </w:r>
    </w:p>
    <w:p>
      <w:r>
        <w:rPr>
          <w:color w:val="555555"/>
          <w:sz w:val="17"/>
        </w:rPr>
        <w:t xml:space="preserve">Zitiervorschlag: § 8 AsphAusbV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https://recht.nulegal.eu/gesetze/AsphAusbV/8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