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AsphAusbV — Staatliche Anerkennung des Ausbildungsberufs</w:t>
      </w:r>
    </w:p>
    <w:p>
      <w:r>
        <w:rPr>
          <w:color w:val="555555"/>
          <w:sz w:val="18"/>
        </w:rPr>
        <w:t xml:space="preserve">Asphaltbauer-Ausbildungsverordnung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Asphaltbauer wird staatlich anerkannt.</w:t>
      </w:r>
    </w:p>
    <w:p>
      <w:r>
        <w:rPr>
          <w:color w:val="555555"/>
          <w:sz w:val="17"/>
        </w:rPr>
        <w:t xml:space="preserve">Zitiervorschlag: § 1 AsphAusbV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https://recht.nulegal.eu/gesetze/AsphAusbV/1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