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AsEntwBkÜbkG</w:t>
      </w:r>
    </w:p>
    <w:p>
      <w:r>
        <w:rPr>
          <w:color w:val="555555"/>
          <w:sz w:val="18"/>
        </w:rPr>
        <w:t xml:space="preserve">Gesetz zu dem Übereinkommen vom 4. Dezember 1965 zur Errichtung der Asiatischen Entwicklungsbank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Bundesregierung wird ermächtigt, vom Stammkapital der Asiatischen Entwicklungsbank einen Anteil von 158.870.000 US-Dollar zum Gewicht und Feingehalt des Goldes vom 31. Januar 1966, davon 108.030.000 US-Dollar zum Gewicht und Feingehalt des Goldes vom 31. Januar 1966 als abrufbares Stammkapital, zu übernehmen.</w:t>
      </w:r>
    </w:p>
    <w:p>
      <w:r>
        <w:t xml:space="preserve">(2) Der Bundesminister der Finanzen wird ermächtigt, im Falle der Inanspruchnahme des abrufbaren Stammkapitals Kredite zum jeweiligen DM-Gegenwert von bis zu 108.030.000 US-Dollar zum Gewicht und Feingehalt des Goldes vom 31. Januar 1966 aufzunehmen.</w:t>
      </w:r>
    </w:p>
    <w:p>
      <w:r>
        <w:rPr>
          <w:color w:val="555555"/>
          <w:sz w:val="17"/>
        </w:rPr>
        <w:t xml:space="preserve">Zitiervorschlag: Art 2 AsEntwBkÜbkG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https://recht.nulegal.eu/gesetze/AsEntwBk%C3%9CbkG/2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