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ArztWohnortG</w:t>
      </w:r>
    </w:p>
    <w:p>
      <w:r>
        <w:rPr>
          <w:color w:val="555555"/>
          <w:sz w:val="18"/>
        </w:rPr>
        <w:t xml:space="preserve">Gesetz zur Einführung des Wohnortprinzips bei Honorarvereinbarungen für Ärzte und Zahnärzte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Artikel 1 Nr. 9 vorgesehene Änderung des Inhalts der Krankenversichertenkarte ist jeweils bei der Neuausstellung der Krankenversichertenkarte vorzunehmen; § 291 Abs. 3 des Fünften Buches Sozialgesetzbuch gilt entsprechend.</w:t>
      </w:r>
    </w:p>
    <w:p>
      <w:r>
        <w:rPr>
          <w:color w:val="555555"/>
          <w:sz w:val="17"/>
        </w:rPr>
        <w:t xml:space="preserve">Zitiervorschlag: § 3 ArztWohnortG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https://recht.nulegal.eu/gesetze/ArztWohnortG/3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