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ArztWohnortG</w:t>
      </w:r>
    </w:p>
    <w:p>
      <w:r>
        <w:rPr>
          <w:color w:val="555555"/>
          <w:sz w:val="18"/>
        </w:rPr>
        <w:t xml:space="preserve">Gesetz zur Einführung des Wohnortprinzips bei Honorarvereinbarungen für Ärzte und Zahnärzte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Ausgangsbetrag für die für das Jahr 2002 erstmalig nach dem Wohnortprinzip gemäß § 83 Abs. 1 Satz 1 des Fünften Buches Sozialgesetzbuch zu vereinbarenden Gesamtvergütungen ergibt sich jeweils durch Multiplikation folgender Faktoren:</w:t>
      </w:r>
    </w:p>
    <w:p>
      <w:pPr>
        <w:ind w:left="420"/>
      </w:pPr>
      <w:r>
        <w:t xml:space="preserve">1. des Betrags, der sich bei einer Teilung der für das Jahr 2001 geltenden Gesamtvergütung durch die Zahl der Mitglieder der Krankenkasse ergibt,</w:t>
      </w:r>
    </w:p>
    <w:p>
      <w:pPr>
        <w:ind w:left="420"/>
      </w:pPr>
      <w:r>
        <w:t xml:space="preserve">2. der Zahl der Mitglieder der Krankenkasse mit Wohnort im Bezirk der vertragschließenden Kassenärztlichen Vereinigung.</w:t>
      </w:r>
    </w:p>
    <w:p>
      <w:r>
        <w:t xml:space="preserve">Die Zahl der Mitglieder der Krankenkasse ist nach dem Vordruck KM 6 der Statistik über die Versicherten in der gesetzlichen Krankenversicherung zum 1. Juli 2001 zu bestimmen.</w:t>
      </w:r>
    </w:p>
    <w:p>
      <w:r>
        <w:t xml:space="preserve">(2) Für Krankenkassen, die ihre Zuständigkeit auf das in Artikel 1 Abs. 1 des Einigungsvertrages genannte Gebiet erstrecken, ist der Betrag nach Absatz 1 für dieses Gebiet und das Gebiet der Bundesrepublik Deutschland nach dem Stand vom 2. Oktober 1990 einschließlich des in Artikel 3 des Einigungsvertrages genannten Teils des Landes Berlin getrennt zu ermitteln.</w:t>
      </w:r>
    </w:p>
    <w:p>
      <w:r>
        <w:rPr>
          <w:color w:val="555555"/>
          <w:sz w:val="17"/>
        </w:rPr>
        <w:t xml:space="preserve">Zitiervorschlag: § 1 ArztWohnortG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https://recht.nulegal.eu/gesetze/ArztWohnortG/1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