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Art115V — Inkrafttreten</w:t>
      </w:r>
    </w:p>
    <w:p>
      <w:r>
        <w:rPr>
          <w:color w:val="555555"/>
          <w:sz w:val="18"/>
        </w:rPr>
        <w:t xml:space="preserve">Artikel 115-Verordnung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Diese Verordnung tritt am Tag nach der Verkündung in Kraft.</w:t>
      </w:r>
    </w:p>
    <w:p>
      <w:r>
        <w:rPr>
          <w:color w:val="555555"/>
          <w:sz w:val="17"/>
        </w:rPr>
        <w:t xml:space="preserve">Zitiervorschlag: § 5 Art115V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https://recht.nulegal.eu/gesetze/Art115V/5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