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Art115V — Ermittlung der Konjunkturkomponente nach Haushaltsabschluss</w:t>
      </w:r>
    </w:p>
    <w:p>
      <w:r>
        <w:rPr>
          <w:color w:val="555555"/>
          <w:sz w:val="18"/>
        </w:rPr>
        <w:t xml:space="preserve">Artikel 115-Verordnung</w:t>
      </w:r>
    </w:p>
    <w:p>
      <w:r>
        <w:rPr>
          <w:color w:val="555555"/>
          <w:sz w:val="18"/>
        </w:rPr>
        <w:t xml:space="preserve">Stand: 10.06.2019 (konsolidierte Textfassung, kein amtliches Inkrafttretensdatum)</w:t>
      </w:r>
    </w:p>
    <w:p>
      <w:r>
        <w:t xml:space="preserve">Bei der Ermittlung der nach § 7 des Gesetzes auf dem Kontrollkonto zu buchenden Abweichung ist für die Errechnung der zulässigen Kreditaufnahme die Wirkung der konjunkturellen Entwicklung auf den Haushalt zugrunde zu legen (Konjunkturkomponente nach Haushaltsabschluss). Dazu wird die zum Zeitpunkt der Haushaltsaufstellung nach § 2 ermittelte Konjunkturkomponente an die tatsächliche Wirtschaftsentwicklung angepasst, indem die zum Zeitpunkt der Haushaltsaufstellung ermittelte Produktionslücke für das betreffende Haushaltsjahr korrigiert wird. Die Korrektur erfolgt auf Basis der Differenz zwischen der zum Zeitpunkt der Buchung auf dem Kontrollkonto vom Statistischen Bundesamt festgestellten und der zum Zeitpunkt der Haushaltsaufstellung erwarteten Veränderung des Bruttoinlandsprodukts.</w:t>
      </w:r>
    </w:p>
    <w:p>
      <w:r>
        <w:rPr>
          <w:color w:val="555555"/>
          <w:sz w:val="17"/>
        </w:rPr>
        <w:t xml:space="preserve">Zitiervorschlag: § 3 Art115V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https://recht.nulegal.eu/gesetze/Art115V/3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Art115V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