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AromenDV — Straftaten</w:t>
      </w:r>
    </w:p>
    <w:p>
      <w:r>
        <w:rPr>
          <w:color w:val="555555"/>
          <w:sz w:val="18"/>
        </w:rPr>
        <w:t xml:space="preserve">Aromendurchführungsverordnung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(1) Nach § 58 Absatz 1 Nummer 18, Absatz 4 bis 6 des Lebensmittel- und Futtermittelgesetzbuches wird bestraft, wer vorsätzlich oder fahrlässig</w:t>
      </w:r>
    </w:p>
    <w:p>
      <w:pPr>
        <w:ind w:left="420"/>
      </w:pPr>
      <w:r>
        <w:t xml:space="preserve">1. entgegen § 3 einen Aromastoff verwendet oder</w:t>
      </w:r>
    </w:p>
    <w:p>
      <w:pPr>
        <w:ind w:left="420"/>
      </w:pPr>
      <w:r>
        <w:t xml:space="preserve">2. entgegen § 4 Absatz 1 ein Lebensmittel herstellt.</w:t>
      </w:r>
    </w:p>
    <w:p>
      <w:r>
        <w:t xml:space="preserve">(2) Nach § 59 Absatz 1 Nummer 21 Buchstabe a des Lebensmittel- und Futtermittelgesetzbuches wird bestraft, wer entgegen § 5 Absatz 1 Satz 1 oder Absatz 2 ein dort genanntes Erzeugnis oder Aroma abgibt.</w:t>
      </w:r>
    </w:p>
    <w:p>
      <w:r>
        <w:t xml:space="preserve">(3) Nach § 58 Absatz 3 Nummer 2, Absatz 4 bis 6 des Lebensmittel- und Futtermittelgesetzbuches wird bestraft, wer vorsätzlich oder fahrlässig entgegen Artikel 4 Absatz 2 der Verordnung (EG) Nr. 2065/2003 des Europäischen Parlaments und des Rates vom 10. November 2003 über Raucharomen zur tatsächlichen oder beabsichtigten Verwendung in oder auf Lebensmitteln (ABl. L 309 vom 26.11.2003, S. 1), die zuletzt durch die Verordnung (EU) 2019/1381 (ABl. L 231 vom 6.9.2019, S. 1) geändert worden ist, ein Raucharoma oder ein Lebensmittel in den Verkehr bringt.</w:t>
      </w:r>
    </w:p>
    <w:p>
      <w:r>
        <w:rPr>
          <w:color w:val="555555"/>
          <w:sz w:val="17"/>
        </w:rPr>
        <w:t xml:space="preserve">Zitiervorschlag: § 6 AromenDV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https://recht.nulegal.eu/gesetze/AromenDV/6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