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AromenDV — Verwendung von frisch entwickeltem Rauch</w:t>
      </w:r>
    </w:p>
    <w:p>
      <w:r>
        <w:rPr>
          <w:color w:val="555555"/>
          <w:sz w:val="18"/>
        </w:rPr>
        <w:t xml:space="preserve">Aromendurchführungsverordnung</w:t>
      </w:r>
    </w:p>
    <w:p>
      <w:r>
        <w:rPr>
          <w:color w:val="555555"/>
          <w:sz w:val="18"/>
        </w:rPr>
        <w:t xml:space="preserve">Stand: 27.10.2021 (konsolidierte Textfassung, kein amtliches Inkrafttretensdatum)</w:t>
      </w:r>
    </w:p>
    <w:p>
      <w:r>
        <w:t xml:space="preserve">(1) Es ist verboten, Lebensmittel unter Verwendung von frisch entwickeltem Rauch herzustellen, wenn die Maßgaben der Absätze 2, 4 oder 5 nicht eingehalten werden.</w:t>
      </w:r>
    </w:p>
    <w:p>
      <w:r>
        <w:t xml:space="preserve">(2) Für die Herstellung von frisch entwickeltem Rauch dürfen ausschließlich naturbelassene Hölzer und Zweige, Heidekraut und Nadelholzsamenstände, jeweils auch unter Mitverwendung von Gewürzen, verwendet werden.</w:t>
      </w:r>
    </w:p>
    <w:p>
      <w:r>
        <w:t xml:space="preserve">(3) Abweichend von Absatz 2 darf für die Herstellung von frisch entwickeltem Rauch auch Torf verwendet werden zur Behandlung von Malz für die Herstellung</w:t>
      </w:r>
    </w:p>
    <w:p>
      <w:pPr>
        <w:ind w:left="420"/>
      </w:pPr>
      <w:r>
        <w:t xml:space="preserve">1. von Whisky oder Whiskey im Sinne des Anhangs I Kategorie 2 der Verordnung (EU) 2019/787 des Europäischen Parlaments und des Rates vom 17. April 2019 über die Begriffsbestimmung, Bezeichnung, Aufmachung und Kennzeichnung von Spirituosen, die Verwendung der Bezeichnungen von Spirituosen bei der Aufmachung und Kennzeichnung von anderen Lebensmitteln, den Schutz geografischer Angaben für Spirituosen und die Verwendung von Ethylalkohol und Destillaten landwirtschaftlichen Ursprungs in alkoholischen Getränken sowie zur Aufhebung der Verordnung (EG) Nr. 110/2008 (ABl. L 130 vom 17.5.2019, S. 1; L 321 vom 13.9.2021, S. 12) und</w:t>
      </w:r>
    </w:p>
    <w:p>
      <w:pPr>
        <w:ind w:left="420"/>
      </w:pPr>
      <w:r>
        <w:t xml:space="preserve">2. von Bier.</w:t>
      </w:r>
    </w:p>
    <w:p>
      <w:r>
        <w:t xml:space="preserve">(4) Frisch entwickelter Rauch darf nicht zum Behandeln von Wasser, wässrigen Lösungen, Speiseölen und anderen Flüssigkeiten sowie von Nitritpökelsalz verwendet werden.</w:t>
      </w:r>
    </w:p>
    <w:p>
      <w:r>
        <w:t xml:space="preserve">(5) Der durchschnittliche Gehalt an Benzo(a)pyren darf bei geräuchertem Käse oder geräucherten Erzeugnissen aus Käse ein Mikrogramm pro Kilogramm (1,0 µg/kg) nicht überschreiten.</w:t>
      </w:r>
    </w:p>
    <w:p>
      <w:r>
        <w:rPr>
          <w:color w:val="555555"/>
          <w:sz w:val="17"/>
        </w:rPr>
        <w:t xml:space="preserve">Zitiervorschlag: § 4 AromenDV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https://recht.nulegal.eu/gesetze/AromenDV/4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