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AromenDV — Lebensmittel, die für Säuglinge bestimmt sind</w:t>
      </w:r>
    </w:p>
    <w:p>
      <w:r>
        <w:rPr>
          <w:color w:val="555555"/>
          <w:sz w:val="18"/>
        </w:rPr>
        <w:t xml:space="preserve">Aromendurchführungsverordnung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Die Verwendung von Aromastoffen ist verboten bei der Herstellung</w:t>
      </w:r>
    </w:p>
    <w:p>
      <w:pPr>
        <w:ind w:left="420"/>
      </w:pPr>
      <w:r>
        <w:t xml:space="preserve">1. von Säuglingsanfangsnahrung und</w:t>
      </w:r>
    </w:p>
    <w:p>
      <w:pPr>
        <w:ind w:left="420"/>
      </w:pPr>
      <w:r>
        <w:t xml:space="preserve">2. von Lebensmitteln, die für Säuglinge im Alter von weniger als sechzehn Wochen bestimmt sind.</w:t>
      </w:r>
    </w:p>
    <w:p>
      <w:r>
        <w:rPr>
          <w:color w:val="555555"/>
          <w:sz w:val="17"/>
        </w:rPr>
        <w:t xml:space="preserve">Zitiervorschlag: § 3 AromenDV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https://recht.nulegal.eu/gesetze/AromenDV/3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