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AromV — (zu § 2)Höchstmengen an bestimmten Stoffen in verzehrfertigen aromatisierten Lebensmitteln</w:t>
      </w:r>
    </w:p>
    <w:p>
      <w:r>
        <w:rPr>
          <w:color w:val="555555"/>
          <w:sz w:val="18"/>
        </w:rPr>
        <w:t xml:space="preserve">Aromenverordnung</w:t>
      </w:r>
    </w:p>
    <w:p>
      <w:r>
        <w:rPr>
          <w:color w:val="555555"/>
          <w:sz w:val="18"/>
        </w:rPr>
        <w:t xml:space="preserve">Historische Fassung: Stand 10.06.2019 bis 27.10.2021. Dies ist nicht die aktuelle Fassung.</w:t>
      </w:r>
    </w:p>
    <w:p>
      <w:r>
        <w:t xml:space="preserve">(Fundstelle: BGBl. I 2011, 1997)</w:t>
      </w:r>
    </w:p>
    <w:p>
      <w:r>
        <w:rPr>
          <w:rFonts w:ascii="Courier New" w:hAnsi="Courier New"/>
          <w:sz w:val="17"/>
        </w:rPr>
        <w:t xml:space="preserve">Stoffe    Getränke mg/kg    andere Lebensmittel mg/kg    Sonderregelungen</w:t>
      </w:r>
    </w:p>
    <w:p>
      <w:r>
        <w:rPr>
          <w:rFonts w:ascii="Courier New" w:hAnsi="Courier New"/>
          <w:sz w:val="17"/>
        </w:rPr>
        <w:t xml:space="preserve">Chinin    0    0    300 mg/kg in Spirituosen 85 mg/kg in alkoholfreien Erfrischungsgetränken.</w:t>
      </w:r>
    </w:p>
    <w:p>
      <w:r>
        <w:rPr>
          <w:color w:val="555555"/>
          <w:sz w:val="17"/>
        </w:rPr>
        <w:t xml:space="preserve">Zitiervorschlag: Anlage 4 AromV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AromV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