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AromV — Straftaten und Ordnungswidrigkeiten</w:t>
      </w:r>
    </w:p>
    <w:p>
      <w:r>
        <w:rPr>
          <w:color w:val="555555"/>
          <w:sz w:val="18"/>
        </w:rPr>
        <w:t xml:space="preserve">Aromenverordnung</w:t>
      </w:r>
    </w:p>
    <w:p>
      <w:r>
        <w:rPr>
          <w:color w:val="555555"/>
          <w:sz w:val="18"/>
        </w:rPr>
        <w:t xml:space="preserve">Historische Fassung: Stand 10.06.2019 bis 27.10.2021. Dies ist nicht die aktuelle Fassung.</w:t>
      </w:r>
    </w:p>
    <w:p>
      <w:r>
        <w:t xml:space="preserve">(1) Nach § 58 Abs. 1 Nr. 18, Abs. 4 bis 6 des Lebensmittel- und Futtermittelgesetzbuches wird bestraft, wer vorsätzlich oder fahrlässig</w:t>
      </w:r>
    </w:p>
    <w:p>
      <w:pPr>
        <w:ind w:left="420"/>
      </w:pPr>
      <w:r>
        <w:t xml:space="preserve">1. (weggefallen)</w:t>
      </w:r>
    </w:p>
    <w:p>
      <w:pPr>
        <w:ind w:left="420"/>
      </w:pPr>
      <w:r>
        <w:t xml:space="preserve">2. entgegen § 2 dort genannte Lebensmittel in den Verkehr bringt.</w:t>
      </w:r>
    </w:p>
    <w:p>
      <w:r>
        <w:t xml:space="preserve">(2) Nach § 59 Abs. 1 Nr. 21 Buchstabe a des Lebensmittel- und Futtermittelgesetzbuches wird bestraft, wer bei dem gewerbsmäßigen Herstellen von Lebensmitteln, die dazu bestimmt sind, in den Verkehr gebracht zu werden, Zusatzstoffe über die durch § 3 Abs. 2 festgesetzten Höchstmengen hinaus verwendet.</w:t>
      </w:r>
    </w:p>
    <w:p>
      <w:r>
        <w:t xml:space="preserve">(3) Nach § 59 Abs. 1 Nr. 21 Buchstabe a des Lebensmittel- und Futtermittelgesetzbuches wird bestraft, wer</w:t>
      </w:r>
    </w:p>
    <w:p>
      <w:pPr>
        <w:ind w:left="420"/>
      </w:pPr>
      <w:r>
        <w:t xml:space="preserve">1. entgegen § 4 dort genannte Aromen in den Verkehr bringt oder</w:t>
      </w:r>
    </w:p>
    <w:p>
      <w:pPr>
        <w:ind w:left="420"/>
      </w:pPr>
      <w:r>
        <w:t xml:space="preserve">2. entgegen § 5 dort genannte Erzeugnisse in den Verkehr bringt.</w:t>
      </w:r>
    </w:p>
    <w:p>
      <w:r>
        <w:t xml:space="preserve">(3a) Nach § 59 Absatz 3 Nummer 2 Buchstabe a des Lebensmittel- und Futtermittelgesetzbuches wird bestraft, wer entgegen Artikel 14 Absatz 1 Satz 1 in Verbindung mit Artikel 16 der Verordnung (EG) Nr. 1334/2008 des Europäischen Parlaments und des Rates vom 16. Dezember 2008 über Aromen und bestimmte Lebensmittelzutaten mit Aromaeigenschaften zur Verwendung in und auf Lebensmitteln sowie zur Änderung der Verordnung (EWG) Nr. 1601/91 des Rates, der Verordnungen (EG) Nr. 2232/96 und (EG) Nr. 110/2008 und der Richtlinie 2000/13/EG (ABl. L 354 vom 31.12.2008, S. 34) Aromen in den Verkehr bringt, in deren Verkehrsbezeichnung der Begriff „natürlich“ nicht richtig verwendet wird.</w:t>
      </w:r>
    </w:p>
    <w:p>
      <w:r>
        <w:t xml:space="preserve">(4) Nach § 59 Abs. 3 Nr. 1 des Lebensmittel- und Futtermittelgesetzbuches wird bestraft, wer entgegen Artikel 4 Abs. 2 der Verordnung (EG) Nr. 2065/2003 des Europäischen Parlaments und des Rates vom 10. November 2003 über Raucharomen zur tatsächlichen oder beabsichtigten Verwendung in oder auf Lebensmitteln (ABl. EU Nr. L 309 S. 1) ein Raucharoma oder ein Lebensmittel, in oder auf dem ein Raucharoma vorhanden ist, in den Verkehr bringt.</w:t>
      </w:r>
    </w:p>
    <w:p>
      <w:r>
        <w:t xml:space="preserve">(5) Wer eine in Absatz 2, 3, 3a oder Absatz 4 bezeichnete Handlung fahrlässig begeht, handelt nach § 60 Abs. 1 des Lebensmittel- und Futtermittelgesetzbuches ordnungswidrig.</w:t>
      </w:r>
    </w:p>
    <w:p>
      <w:r>
        <w:t xml:space="preserve">(6) Ordnungswidrig im Sinne des § 60 Absatz 4 Nummer 2 Buchstabe a des Lebensmittel- und Futtermittelgesetzbuches handelt, wer vorsätzlich oder fahrlässig entgegen Artikel 14 Absatz 1 Satz 1 in Verbindung mit Artikel 15 Absatz 1 oder entgegen Artikel 17 Absatz 1 der Verordnung (EG) Nr. 1334/2008 Aromen in den Verkehr bringt, die nicht oder nicht in der vorgeschriebenen Weise gekennzeichnet sind.</w:t>
      </w:r>
    </w:p>
    <w:p>
      <w:r>
        <w:t xml:space="preserve">(7) (weggefallen)</w:t>
      </w:r>
    </w:p>
    <w:p>
      <w:r>
        <w:rPr>
          <w:color w:val="555555"/>
          <w:sz w:val="17"/>
        </w:rPr>
        <w:t xml:space="preserve">Zitiervorschlag: § 6 AromV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https://recht.nulegal.eu/gesetze/AromV/6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