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AromV — Verkehrsverbot</w:t>
      </w:r>
    </w:p>
    <w:p>
      <w:r>
        <w:rPr>
          <w:color w:val="555555"/>
          <w:sz w:val="18"/>
        </w:rPr>
        <w:t xml:space="preserve">Aromenverordnung</w:t>
      </w:r>
    </w:p>
    <w:p>
      <w:r>
        <w:rPr>
          <w:color w:val="555555"/>
          <w:sz w:val="18"/>
        </w:rPr>
        <w:t xml:space="preserve">Historische Fassung: Stand 10.06.2019 bis 27.10.2021. Dies ist nicht die aktuelle Fassung.</w:t>
      </w:r>
    </w:p>
    <w:p>
      <w:r>
        <w:t xml:space="preserve">Aromen und alkoholfreie Erfrischungsgetränke, die Chinin oder dessen Salze enthalten, dürfen gewerbsmäßig nur in den Verkehr gebracht werden, wenn sie durch die Angabe "chininhaltig" kenntlich gemacht sind. Satz 1 gilt nicht für alkoholfreie Erfrischungsgetränke, die zu kennzeichnen sind nach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in der jeweils geltenden Fassung.</w:t>
      </w:r>
    </w:p>
    <w:p>
      <w:r>
        <w:rPr>
          <w:color w:val="555555"/>
          <w:sz w:val="17"/>
        </w:rPr>
        <w:t xml:space="preserve">Zitiervorschlag: § 5 AromV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https://recht.nulegal.eu/gesetze/AromV/5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