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AromV — Hinweise auf natürliche Herkunft</w:t>
      </w:r>
    </w:p>
    <w:p>
      <w:r>
        <w:rPr>
          <w:color w:val="555555"/>
          <w:sz w:val="18"/>
        </w:rPr>
        <w:t xml:space="preserve">Aromenverordnung</w:t>
      </w:r>
    </w:p>
    <w:p>
      <w:r>
        <w:rPr>
          <w:color w:val="555555"/>
          <w:sz w:val="18"/>
        </w:rPr>
        <w:t xml:space="preserve">Historische Fassung: Stand 10.06.2019 bis 27.10.2021. Dies ist nicht die aktuelle Fassung.</w:t>
      </w:r>
    </w:p>
    <w:p>
      <w:r>
        <w:t xml:space="preserve">Aromen, die zur Abgabe an Verbraucherinnen und Verbraucher im Sinne des § 3 Nummer 4 des Lebensmittel- und Futtermittelgesetzbuches bestimmt sind, und in deren Verkehrsbezeichnung der Begriff „natürlich“ verwendet wird, dürfen gewerbsmäßig nur in den Verkehr gebracht werden, wenn der Begriff „natürlich“ im Einklang mit Artikel 17 Absatz 2 in Verbindung mit Artikel 16 der Verordnung (EG) Nr. 1334/2008 verwendet wird.</w:t>
      </w:r>
    </w:p>
    <w:p>
      <w:r>
        <w:rPr>
          <w:color w:val="555555"/>
          <w:sz w:val="17"/>
        </w:rPr>
        <w:t xml:space="preserve">Zitiervorschlag: § 4 AromV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https://recht.nulegal.eu/gesetze/AromV/4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