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AromV — Verbote und Beschränkungen</w:t>
      </w:r>
    </w:p>
    <w:p>
      <w:r>
        <w:rPr>
          <w:color w:val="555555"/>
          <w:sz w:val="18"/>
        </w:rPr>
        <w:t xml:space="preserve">Aromenverordnung</w:t>
      </w:r>
    </w:p>
    <w:p>
      <w:r>
        <w:rPr>
          <w:color w:val="555555"/>
          <w:sz w:val="18"/>
        </w:rPr>
        <w:t xml:space="preserve">Historische Fassung: Stand 10.06.2019 bis 27.10.2021. Dies ist nicht die aktuelle Fassung.</w:t>
      </w:r>
    </w:p>
    <w:p>
      <w:r>
        <w:t xml:space="preserve">Verzehrfertige Lebensmittel, die Chinin enthalten, dürfen gewerbsmäßig nur in den Verkehr gebracht werden, wenn dessen Gehalt die in Anlage 4 festgesetzten Höchstmengen nicht überschreitet.</w:t>
      </w:r>
    </w:p>
    <w:p>
      <w:r>
        <w:rPr>
          <w:color w:val="555555"/>
          <w:sz w:val="17"/>
        </w:rPr>
        <w:t xml:space="preserve">Zitiervorschlag: § 2 AromV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https://recht.nulegal.eu/gesetze/AromV/2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