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AromV — Begriffsbestimmung</w:t>
      </w:r>
    </w:p>
    <w:p>
      <w:r>
        <w:rPr>
          <w:color w:val="555555"/>
          <w:sz w:val="18"/>
        </w:rPr>
        <w:t xml:space="preserve">Aromenverordnung</w:t>
      </w:r>
    </w:p>
    <w:p>
      <w:r>
        <w:rPr>
          <w:color w:val="555555"/>
          <w:sz w:val="18"/>
        </w:rPr>
        <w:t xml:space="preserve">Historische Fassung: Stand 10.06.2019 bis 27.10.2021. Dies ist nicht die aktuelle Fassung.</w:t>
      </w:r>
    </w:p>
    <w:p>
      <w:r>
        <w:t xml:space="preserve">(1) Aromen im Sinne dieser Verordnung sind Erzeugnisse gemäß Artikel 3 Absatz 2 Buchstabe a der Verordnung (EG) Nr. 1334/2008 des Europäischen Parlaments und des Rates vom 16. Dezember 2008 über Aromen und bestimmte Lebensmittelzutaten mit Aromaeigenschaften zur Verwendung in und auf Lebensmitteln sowie zur Änderung der Verordnung (EWG) Nr. 1601/91 des Rates, der Verordnungen (EG) Nr. 2232/96 und (EG) Nr. 110/2008 und der Richtlinie 2000/13/EG (ABl. L 354 vom 31.12.2008, S. 34, L 105 vom 27.4.2010, S. 115).</w:t>
      </w:r>
    </w:p>
    <w:p>
      <w:r>
        <w:t xml:space="preserve">(2) Als Aromen im Sinne dieser Verordnung gelten nicht Erzeugnisse gemäß Artikel 2 Absatz 2 der Verordnung (EG) Nr. 1334/2008.</w:t>
      </w:r>
    </w:p>
    <w:p>
      <w:r>
        <w:rPr>
          <w:color w:val="555555"/>
          <w:sz w:val="17"/>
        </w:rPr>
        <w:t xml:space="preserve">Zitiervorschlag: § 1 AromV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