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ArchivNGO NRW (Nordrhein-Westfalen) — Nutzungsrecht</w:t>
      </w:r>
    </w:p>
    <w:p>
      <w:r>
        <w:rPr>
          <w:color w:val="555555"/>
          <w:sz w:val="18"/>
        </w:rPr>
        <w:t xml:space="preserve">Archivnutzungs- und Gebührenordnung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Maßgabe des Archivgesetzes Nordrhein-Westfalen vom 16. März 2010 (GV. NRW. S. 188), das zuletzt durch Gesetz vom 16. September 2014 (GV. NRW. S. 603) geändert worden ist, und dieser Verordnung stehen Archivgut, Vervielfältigungen und Findmittel auf Antrag jedermann für die Nutzung zur Verfügung.</w:t>
      </w:r>
    </w:p>
    <w:p>
      <w:r>
        <w:rPr>
          <w:color w:val="555555"/>
          <w:sz w:val="17"/>
        </w:rPr>
        <w:t xml:space="preserve">Zitiervorschlag: § 2 ArchivNGO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https://recht.nulegal.eu/gesetze/ArchivNGO%20NRW/2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ArchivNGO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