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ArchivGlV (Bayern) — Inkrafttreten</w:t>
      </w:r>
    </w:p>
    <w:p>
      <w:r>
        <w:rPr>
          <w:color w:val="555555"/>
          <w:sz w:val="18"/>
        </w:rPr>
        <w:t xml:space="preserve">Verordnung über die Gliederung der Staatlichen Archive Bayerns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1990 in Kraft.</w:t>
      </w:r>
    </w:p>
    <w:p>
      <w:r>
        <w:rPr>
          <w:color w:val="555555"/>
          <w:sz w:val="17"/>
        </w:rPr>
        <w:t xml:space="preserve">Zitiervorschlag: § 4 ArchivGlV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https://recht.nulegal.eu/gesetze/ArchivGlV/4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