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ArchivG NRW (Nordrhein-Westfalen) — Inkrafttreten</w:t>
      </w:r>
    </w:p>
    <w:p>
      <w:r>
        <w:rPr>
          <w:color w:val="555555"/>
          <w:sz w:val="18"/>
        </w:rPr>
        <w:t xml:space="preserve">Archivgesetz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Mai 2010 in Kraft.</w:t>
      </w:r>
    </w:p>
    <w:p>
      <w:r>
        <w:rPr>
          <w:color w:val="555555"/>
          <w:sz w:val="17"/>
        </w:rPr>
        <w:t xml:space="preserve">Zitiervorschlag: § 13 ArchivG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https://recht.nulegal.eu/gesetze/ArchivG%20NRW/13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