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ArchivBO (Bayern) — Versendung von Archivgut</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die Versendung von Archivgut zur Benützung außerhalb des verwahrenden Archivs besteht kein Anspruch. Sie kann in begründeten Ausnahmefällen erfolgen, insbesondere wenn das Archivgut zu amtlichen Zwecken bei öffentlichen Stellen oder für Ausstellungszwecke benötigt wird. Die Versendung kann von Auflagen abhängig gemacht werden.</w:t>
      </w:r>
    </w:p>
    <w:p>
      <w:r>
        <w:t xml:space="preserve">(2) Archivgut kann zu nichtamtlichen Zwecken nur an hauptamtlich verwaltete Archive versandt werden, sofern sich diese verpflichten, das Archivgut in den Benützerräumen unter Aufsicht nur dem Antragsteller vorzulegen, es archivfachlich einwandfrei zu verwahren, keine Reproduktionen anzufertigen und das Archivgut nach Ablauf der Ausleihfrist zurückzusenden.</w:t>
      </w:r>
    </w:p>
    <w:p>
      <w:r>
        <w:t xml:space="preserve">(3) Eine Versendung von Archivgut für Ausstellungen ist nur möglich, wenn sichergestellt ist, daß das Archivgut wirksam vor Verlust und Beschädigung geschützt wird und der Ausstellungszweck nicht durch Reproduktionen oder Nachbildungen erreicht werden kann.</w:t>
      </w:r>
    </w:p>
    <w:p>
      <w:r>
        <w:rPr>
          <w:color w:val="555555"/>
          <w:sz w:val="17"/>
        </w:rPr>
        <w:t xml:space="preserve">Zitiervorschlag: § 9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