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ArchivBO (Bayern) — Reproduktionen</w:t>
      </w:r>
    </w:p>
    <w:p>
      <w:r>
        <w:rPr>
          <w:color w:val="555555"/>
          <w:sz w:val="18"/>
        </w:rPr>
        <w:t xml:space="preserve">Archivbenützungsordnung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Anfertigung von Reproduktionen kann nur nach Maßgabe des § 5 erfolgen. Reproduktionen werden durch die staatlichen Archive oder eine von diesen beauftragte Stelle hergestellt.</w:t>
      </w:r>
    </w:p>
    <w:p>
      <w:r>
        <w:t xml:space="preserve">(2) Eine Veröffentlichung, Weitergabe oder Vervielfältigung von Reproduktionen ist nur mit vorheriger Zustimmung des staatlichen Archivs zulässig.</w:t>
      </w:r>
    </w:p>
    <w:p>
      <w:r>
        <w:t xml:space="preserve">(3) Bei einer Veröffentlichung von Reproduktionen sind das verwahrende staatliche Archiv und die dort verwendete Archivsignatur anzugeben.</w:t>
      </w:r>
    </w:p>
    <w:p>
      <w:r>
        <w:rPr>
          <w:color w:val="555555"/>
          <w:sz w:val="17"/>
        </w:rPr>
        <w:t xml:space="preserve">Zitiervorschlag: § 8 ArchivBO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https://recht.nulegal.eu/gesetze/ArchivBO/8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