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ArchivBO (Bayern) — Benützung in den staatlichen Archiven</w:t>
      </w:r>
    </w:p>
    <w:p>
      <w:r>
        <w:rPr>
          <w:color w:val="555555"/>
          <w:sz w:val="18"/>
        </w:rPr>
        <w:t xml:space="preserve">Archivbenützungsordnung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Benützung erfolgt durch die Einsichtnahme in Findmittel, Archivgut und Reproduktionen in den dafür vorgesehenen Räumen der staatlichen Archive. Diese können die Benützung auch durch Beantwortung von schriftlichen oder mündlichen Anfragen, durch Abgabe von Reproduktionen oder durch Versendung von Archivgut ermöglichen.</w:t>
      </w:r>
    </w:p>
    <w:p>
      <w:r>
        <w:t xml:space="preserve">(2) Mündliche oder schriftliche Auskünfte können sich auf Hinweise auf einschlägiges Archivgut beschränken.</w:t>
      </w:r>
    </w:p>
    <w:p>
      <w:r>
        <w:t xml:space="preserve">(3) Das Archivgut, die Reproduktionen, die Findmittel und die sonstigen Hilfsmittel sind mit größter Sorgfalt zu behandeln. Eine Änderung des Ordnungszustands, die Entfernung von Bestandteilen und die Anbringung oder Tilgung von Vermerken sind unzulässig.</w:t>
      </w:r>
    </w:p>
    <w:p>
      <w:r>
        <w:t xml:space="preserve">(4) Das eigenmächtige Entfernen von Archivgut aus den für die Benützung vorgesehenen Räumen ist untersagt. Das staatliche Archiv ist berechtigt, Kontrollen durchzuführen.</w:t>
      </w:r>
    </w:p>
    <w:p>
      <w:r>
        <w:t xml:space="preserve">(5) Die Verwendung von technischen Geräten bei der Benützung, wie Schreibmaschine, Diktiergerät, Computer oder beleuchtete Leselupe, bedarf besonderer Genehmigung. Diese kann nur erteilt werden, wenn durch die Verwendung der Geräte weder Archivgut gefährdet noch der geordnete Ablauf der Benützung gestört wird.</w:t>
      </w:r>
    </w:p>
    <w:p>
      <w:r>
        <w:rPr>
          <w:color w:val="555555"/>
          <w:sz w:val="17"/>
        </w:rPr>
        <w:t xml:space="preserve">Zitiervorschlag: § 7 ArchivBO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https://recht.nulegal.eu/gesetze/ArchivBO/7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