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ArchivBO (Bayern) — Benützungsberechtigte</w:t>
      </w:r>
    </w:p>
    <w:p>
      <w:r>
        <w:rPr>
          <w:color w:val="555555"/>
          <w:sz w:val="18"/>
        </w:rPr>
        <w:t xml:space="preserve">Archivbenützungsordnung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Das Archivgut steht nach Maßgabe des Bayerischen Archivgesetzes und dieser Benützungsordnung Behörden, Gerichten und sonstigen öffentlichen Stellen sowie natürlichen und juristischen Personen für die Benützung zur Verfügung.</w:t>
      </w:r>
    </w:p>
    <w:p>
      <w:r>
        <w:t xml:space="preserve">(2) Minderjährige können zur Benützung zugelassen werden, wenn die Zustimmung des gesetzlichen Vertreters vorliegt.</w:t>
      </w:r>
    </w:p>
    <w:p>
      <w:r>
        <w:rPr>
          <w:color w:val="555555"/>
          <w:sz w:val="17"/>
        </w:rPr>
        <w:t xml:space="preserve">Zitiervorschlag: § 2 ArchivBO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https://recht.nulegal.eu/gesetze/ArchivBO/2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