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ArchivBO (Bayern) — Fälligkeit, Vorschüsse</w:t>
      </w:r>
    </w:p>
    <w:p>
      <w:r>
        <w:rPr>
          <w:color w:val="555555"/>
          <w:sz w:val="18"/>
        </w:rPr>
        <w:t xml:space="preserve">Archivbenützungsordnung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Gebühren und Auslagen werden mit dem Tätigwerden der Archive fällig.</w:t>
      </w:r>
    </w:p>
    <w:p>
      <w:r>
        <w:t xml:space="preserve">(2) Die Archive können einen angemessenen Vorschuß auf die Gebühren und Auslagen verlangen und von dessen Bezahlung ihre Tätigkeit abhängig machen.</w:t>
      </w:r>
    </w:p>
    <w:p>
      <w:r>
        <w:rPr>
          <w:color w:val="555555"/>
          <w:sz w:val="17"/>
        </w:rPr>
        <w:t xml:space="preserve">Zitiervorschlag: § 14 ArchivBO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https://recht.nulegal.eu/gesetze/ArchivBO/14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