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ArchivBO (Bayern) — Gebühren und Auslagen</w:t>
      </w:r>
    </w:p>
    <w:p>
      <w:r>
        <w:rPr>
          <w:color w:val="555555"/>
          <w:sz w:val="18"/>
        </w:rPr>
        <w:t xml:space="preserve">Archivbenützungsordnung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Inanspruchnahme der staatlichen Archive werden Gebühren und Auslagen (Benützungsgebühren) erhoben.</w:t>
      </w:r>
    </w:p>
    <w:p>
      <w:r>
        <w:t xml:space="preserve">(2) Schuldner der Benützungsgebühren sind der Benützer und derjenige, in dessen Interesse die Inanspruchnahme erfolgt sowie derjenige, der die Schuld gegenüber dem Archiv schriftlich übernimmt. Mehrere Schuldner haften als Gesamtschuldner.</w:t>
      </w:r>
    </w:p>
    <w:p>
      <w:r>
        <w:rPr>
          <w:color w:val="555555"/>
          <w:sz w:val="17"/>
        </w:rPr>
        <w:t xml:space="preserve">Zitiervorschlag: § 11 ArchivBO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https://recht.nulegal.eu/gesetze/ArchivBO/11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