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ArchLG — Unverbindlichkeit der Kopplung von Grundstückskaufverträgen mit Ingenieur- und Architektenverträgen</w:t>
      </w:r>
    </w:p>
    <w:p>
      <w:r>
        <w:rPr>
          <w:color w:val="555555"/>
          <w:sz w:val="18"/>
        </w:rPr>
        <w:t xml:space="preserve">Gesetz zur Regelung von Ingenieur- und Architektenleistungen</w:t>
      </w:r>
    </w:p>
    <w:p>
      <w:r>
        <w:rPr>
          <w:color w:val="555555"/>
          <w:sz w:val="18"/>
        </w:rPr>
        <w:t xml:space="preserve">Stand: 20.11.2020 (konsolidierte Textfassung, kein amtliches Inkrafttretensdatum)</w:t>
      </w:r>
    </w:p>
    <w:p>
      <w:r>
        <w:t xml:space="preserve">Eine Vereinbarung, durch die der Erwerber eines Grundstücks sich im Zusammenhang mit dem Erwerb verpflichtet, bei der Planung oder Ausführung eines Bauwerks auf dem Grundstück die Leistungen eines bestimmten Ingenieurs oder Architekten in Anspruch zu nehmen, ist unwirksam. Die Wirksamkeit des auf den Erwerb des Grundstücks gerichteten Vertrages bleibt unberührt.</w:t>
      </w:r>
    </w:p>
    <w:p>
      <w:r>
        <w:rPr>
          <w:color w:val="555555"/>
          <w:sz w:val="17"/>
        </w:rPr>
        <w:t xml:space="preserve">Zitiervorschlag: § 2 ArchLG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