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ArchLG — Ermächtigung zum Erlass einer Honorarordnung für Ingenieur- und Architektenleistungen</w:t>
      </w:r>
    </w:p>
    <w:p>
      <w:r>
        <w:rPr>
          <w:color w:val="555555"/>
          <w:sz w:val="18"/>
        </w:rPr>
        <w:t xml:space="preserve">Gesetz zur Regelung von Ingenieur- und Architektenleistungen</w:t>
      </w:r>
    </w:p>
    <w:p>
      <w:r>
        <w:rPr>
          <w:color w:val="555555"/>
          <w:sz w:val="18"/>
        </w:rPr>
        <w:t xml:space="preserve">Stand: 20.11.2020 (konsolidierte Textfassung, kein amtliches Inkrafttretensdatum)</w:t>
      </w:r>
    </w:p>
    <w:p>
      <w:r>
        <w:t xml:space="preserve">(1) Die Bundesregierung wird ermächtigt, durch Rechtsverordnung mit Zustimmung des Bundesrates eine Honorarordnung für Ingenieur- und Architektenleistungen zu erlassen und Folgendes zu regeln:</w:t>
      </w:r>
    </w:p>
    <w:p>
      <w:pPr>
        <w:ind w:left="420"/>
      </w:pPr>
      <w:r>
        <w:t xml:space="preserve">1. die Grundlagen und Maßstäbe zur Berechnung von Honoraren,</w:t>
      </w:r>
    </w:p>
    <w:p>
      <w:pPr>
        <w:ind w:left="420"/>
      </w:pPr>
      <w:r>
        <w:t xml:space="preserve">2. Honorartafeln zur Honorarorientierung für Grundleistungen, auch in Abgrenzung zu besonderen Leistungen,</w:t>
      </w:r>
    </w:p>
    <w:p>
      <w:pPr>
        <w:ind w:left="420"/>
      </w:pPr>
      <w:r>
        <w:t xml:space="preserve">3. eine Regelung, wonach bestimmte in den Honorartafeln angegebene Honorarsätze für Grundleistungen für den Fall als vereinbart gelten, dass keine wirksame Honorarvereinbarung getroffen wurde,</w:t>
      </w:r>
    </w:p>
    <w:p>
      <w:pPr>
        <w:ind w:left="420"/>
      </w:pPr>
      <w:r>
        <w:t xml:space="preserve">4. die bei der Honorarvereinbarung einzuhaltende Form und die zu beachtenden Hinweispflichten.</w:t>
      </w:r>
    </w:p>
    <w:p>
      <w:r>
        <w:t xml:space="preserve">Bei der Bestimmung der Honorartafeln zur Honorarorientierung nach Satz 1 Nummer 2 ist zur Ermittlung angemessener Honorare den berechtigten Interessen der Ingenieure und Architekten und der zur Zahlung Verpflichteten Rechnung zu tragen. Diese sind an der Art und dem Umfang der Aufgabe sowie an der Leistung des Ingenieurs oder Architekten auszurichten.</w:t>
      </w:r>
    </w:p>
    <w:p>
      <w:r>
        <w:t xml:space="preserve">(2) Grundleistungen im Sinne des Absatzes 1 Nummer 2 und 3 sind Leistungen, die regelmäßig im Rahmen von Flächen-, Objekt- oder Fachplanungen auszuführen sind. Sie umfassen insbesondere auch Leistungen der Beratung, Planung, Maßnahmendurchführung sowie Leistungen im Zusammenhang mit Vergabeverfahren.</w:t>
      </w:r>
    </w:p>
    <w:p>
      <w:r>
        <w:rPr>
          <w:color w:val="555555"/>
          <w:sz w:val="17"/>
        </w:rPr>
        <w:t xml:space="preserve">Zitiervorschlag: § 1 ArchLG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