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ArbnErfGDV 2</w:t>
      </w:r>
    </w:p>
    <w:p>
      <w:r>
        <w:rPr>
          <w:color w:val="555555"/>
          <w:sz w:val="18"/>
        </w:rPr>
        <w:t xml:space="preserve">Zweite Verordnung zur Durchführung des Gesetzes über Arbeitnehmererfindungen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45 des Gesetzes über Arbeitnehmererfindungen vom 25. Juli 1957 (Bundesgesetzbl. I S. 756) wird im Einvernehmen mit dem Bundesminister für Arbeit verordnet:</w:t>
      </w:r>
    </w:p>
    <w:p>
      <w:r>
        <w:rPr>
          <w:color w:val="555555"/>
          <w:sz w:val="17"/>
        </w:rPr>
        <w:t xml:space="preserve">Zitiervorschlag: Eingangsformel ArbnErfGDV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https://recht.nulegal.eu/gesetze/ArbnErfGDV%202/eingangsformel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