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ArbnErfGDV 2 — Entschädigung der Beisitzer</w:t>
      </w:r>
    </w:p>
    <w:p>
      <w:r>
        <w:rPr>
          <w:color w:val="555555"/>
          <w:sz w:val="18"/>
        </w:rPr>
        <w:t xml:space="preserve">Zweite Verordnung zur Durchführung des Gesetzes über Arbeitnehmererfindungen</w:t>
      </w:r>
    </w:p>
    <w:p>
      <w:r>
        <w:rPr>
          <w:color w:val="555555"/>
          <w:sz w:val="18"/>
        </w:rPr>
        <w:t xml:space="preserve">Stand: 10.06.2019 (konsolidierte Textfassung, kein amtliches Inkrafttretensdatum)</w:t>
      </w:r>
    </w:p>
    <w:p>
      <w:r>
        <w:t xml:space="preserve">Die Beisitzer erhalten eine Entschädigung nach Maßgabe der §§ 2, 3, 5 bis 7 und 16 bis 18 des Justizvergütungs- und -entschädigungsgesetzes; § 4 dieses Gesetzes gilt entsprechend. Die Entschädigung wird von dem Vorsitzenden der Schiedsstelle festgesetzt. Für die gerichtliche Festsetzung ist das Verwaltungsgericht zuständig, in dessen Bezirk die Schiedsstelle ihren Sitz hat. Die Festsetzung kann von dem Vorsitzenden der Schiedsstelle auf das Patentamt übertragen werden.</w:t>
      </w:r>
    </w:p>
    <w:p>
      <w:r>
        <w:rPr>
          <w:color w:val="555555"/>
          <w:sz w:val="17"/>
        </w:rPr>
        <w:t xml:space="preserve">Zitiervorschlag: § 8 ArbnErfGDV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https://recht.nulegal.eu/gesetze/ArbnErfGDV%202/8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