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ArbnErfGDV 2 — Abberufung eines Beisitzers</w:t>
      </w:r>
    </w:p>
    <w:p>
      <w:r>
        <w:rPr>
          <w:color w:val="555555"/>
          <w:sz w:val="18"/>
        </w:rPr>
        <w:t xml:space="preserve">Zweite Verordnung zur Durchführung des Gesetzes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Präsident des Patentamts darf einen vorgeschlagenen Beisitzer nicht bestellen und hat einen bereits bestellten Beisitzer unverzüglich abzuberufen, wenn das Fehlen einer Voraussetzung für die Bestellung (§§ 1 bis 3) nachträglich bekannt wird oder eine Voraussetzung nachträglich fortfällt. Er hat hiervon die Organisation, die den Beisitzer vorgeschlagen hat, und den Beisitzer unverzüglich schriftlich zu unterrichten.</w:t>
      </w:r>
    </w:p>
    <w:p>
      <w:r>
        <w:t xml:space="preserve">(2) Das gleiche gilt, wenn ein Beisitzer seine Amtspflicht grob verletzt.</w:t>
      </w:r>
    </w:p>
    <w:p>
      <w:r>
        <w:t xml:space="preserve">(3) Vor der Abberufung ist der Beisitzer zu hören.</w:t>
      </w:r>
    </w:p>
    <w:p>
      <w:r>
        <w:rPr>
          <w:color w:val="555555"/>
          <w:sz w:val="17"/>
        </w:rPr>
        <w:t xml:space="preserve">Zitiervorschlag: § 7 ArbnErfGDV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https://recht.nulegal.eu/gesetze/ArbnErfGDV%202/7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