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ArbnErfGDV 2 — Ehrenamt</w:t>
      </w:r>
    </w:p>
    <w:p>
      <w:r>
        <w:rPr>
          <w:color w:val="555555"/>
          <w:sz w:val="18"/>
        </w:rPr>
        <w:t xml:space="preserve">Zweite Verordnung zur Durchführung des Gesetzes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Amt des Beisitzers ist ein Ehrenamt.</w:t>
      </w:r>
    </w:p>
    <w:p>
      <w:r>
        <w:t xml:space="preserve">(2) Der Vorsitzende der Schiedsstelle hat die Beisitzer vor ihrer ersten Dienstleistung auf die Erfüllung der Obliegenheiten ihres Amtes zu verpflichten. Er soll die Beisitzer auf § 24 des Gesetzes über Arbeitnehmererfindungen hinweisen. Über die Verpflichtung soll eine Niederschrift aufgenommen werden, die der Verpflichtete mit zu unterzeichnen hat.</w:t>
      </w:r>
    </w:p>
    <w:p>
      <w:r>
        <w:rPr>
          <w:color w:val="555555"/>
          <w:sz w:val="17"/>
        </w:rPr>
        <w:t xml:space="preserve">Zitiervorschlag: § 5 ArbnErfGDV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https://recht.nulegal.eu/gesetze/ArbnErfGDV%202/5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