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ArbnErfGDV 2 — Inkrafttreten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13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