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ArbnErfG — Wirkung der Inanspruchnahme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Inanspruchnahme gehen alle vermögenswerten Rechte an der Diensterfindung auf den Arbeitgeber über.</w:t>
      </w:r>
    </w:p>
    <w:p>
      <w:r>
        <w:t xml:space="preserve">(2) Verfügungen, die der Arbeitnehmer über eine Diensterfindung vor der Inanspruchnahme getroffen hat, sind dem Arbeitgeber gegenüber unwirksam, soweit seine Rechte beeinträchtigt werden.</w:t>
      </w:r>
    </w:p>
    <w:p>
      <w:r>
        <w:rPr>
          <w:color w:val="555555"/>
          <w:sz w:val="17"/>
        </w:rPr>
        <w:t xml:space="preserve">Zitiervorschlag: § 7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