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ArbnErfG — Inanspruchnahme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kann eine Diensterfindung durch Erklärung gegenüber dem Arbeitnehmer in Anspruch nehmen.</w:t>
      </w:r>
    </w:p>
    <w:p>
      <w:r>
        <w:t xml:space="preserve">(2) Die Inanspruchnahme gilt als erklärt, wenn der Arbeitgeber die Diensterfindung nicht bis zum Ablauf von vier Monaten nach Eingang der ordnungsgemäßen Meldung (§ 5 Abs. 2 Satz 1 und 3) gegenüber dem Arbeitnehmer durch Erklärung in Textform freigibt.</w:t>
      </w:r>
    </w:p>
    <w:p>
      <w:r>
        <w:rPr>
          <w:color w:val="555555"/>
          <w:sz w:val="17"/>
        </w:rPr>
        <w:t xml:space="preserve">Zitiervorschlag: § 6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