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ArbnErfG — Außerkrafttreten von Vorschriften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Inkrafttreten dieses Gesetzes werden folgende Vorschriften aufgehoben, soweit sie nicht bereits außer Kraft getreten sind:</w:t>
      </w:r>
    </w:p>
    <w:p>
      <w:pPr>
        <w:ind w:left="420"/>
      </w:pPr>
      <w:r>
        <w:t xml:space="preserve">1. die Verordnung über die Behandlung von Erfindungen von Gefolgschaftsmitgliedern vom 12. Juli 1942 (Reichsgesetzbl. I S. 466);</w:t>
      </w:r>
    </w:p>
    <w:p>
      <w:pPr>
        <w:ind w:left="420"/>
      </w:pPr>
      <w:r>
        <w:t xml:space="preserve">2. die Durchführungsverordnung zur Verordnung über die Behandlung von Erfindungen von Gefolgschaftsmitgliedern vom 20. März 1943 (Reichsgesetzbl. I S. 257).</w:t>
      </w:r>
    </w:p>
    <w:p>
      <w:r>
        <w:rPr>
          <w:color w:val="555555"/>
          <w:sz w:val="17"/>
        </w:rPr>
        <w:t xml:space="preserve">Zitiervorschlag: § 46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