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ArbnErfG — Durchführungsbestimmungen</w:t>
      </w:r>
    </w:p>
    <w:p>
      <w:r>
        <w:rPr>
          <w:color w:val="555555"/>
          <w:sz w:val="18"/>
        </w:rPr>
        <w:t xml:space="preserve">Gesetz über Arbeitnehmererfindungen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Das Bundesministerium der Justiz und für Verbraucherschutz wird ermächtigt, im Einvernehmen mit dem Bundesministerium für Arbeit und Soziales die für die Erweiterung der Besetzung der Schiedsstelle (§ 30 Abs. 4 und 5) erforderlichen Durchführungsbestimmungen zu erlassen. Insbesondere kann es bestimmen,</w:t>
      </w:r>
    </w:p>
    <w:p>
      <w:pPr>
        <w:ind w:left="420"/>
      </w:pPr>
      <w:r>
        <w:t xml:space="preserve">1. welche persönlichen Voraussetzungen Personen erfüllen müssen, die als Beisitzer aus Kreisen der Arbeitgeber oder der Arbeitnehmer vorgeschlagen werden;</w:t>
      </w:r>
    </w:p>
    <w:p>
      <w:pPr>
        <w:ind w:left="420"/>
      </w:pPr>
      <w:r>
        <w:t xml:space="preserve">2. wie die auf Grund der Vorschlagslisten ausgewählten Beisitzer für ihre Tätigkeit zu entschädigen sind.</w:t>
      </w:r>
    </w:p>
    <w:p>
      <w:r>
        <w:rPr>
          <w:color w:val="555555"/>
          <w:sz w:val="17"/>
        </w:rPr>
        <w:t xml:space="preserve">Zitiervorschlag: § 45 ArbnErfG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https://recht.nulegal.eu/gesetze/ArbnErfG/45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