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43 ArbnErfG — Übergangsvorschrift</w:t>
      </w:r>
    </w:p>
    <w:p>
      <w:r>
        <w:rPr>
          <w:color w:val="555555"/>
          <w:sz w:val="18"/>
        </w:rPr>
        <w:t xml:space="preserve">Gesetz über Arbeitnehmererfindungen</w:t>
      </w:r>
    </w:p>
    <w:p>
      <w:r>
        <w:rPr>
          <w:color w:val="555555"/>
          <w:sz w:val="18"/>
        </w:rPr>
        <w:t xml:space="preserve">Stand: 10.06.2019 (konsolidierte Textfassung, kein amtliches Inkrafttretensdatum)</w:t>
      </w:r>
    </w:p>
    <w:p>
      <w:r>
        <w:t xml:space="preserve">(1) § 42 in der am 7. Februar 2002 (BGBl. I S. 414) geltenden Fassung dieses Gesetzes findet nur Anwendung auf Erfindungen, die nach dem 6. Februar 2002 gemacht worden sind. Abweichend von Satz 1 ist in den Fällen, in denen sich Professoren, Dozenten oder wissenschaftliche Assistenten an einer wissenschaftlichen Hochschule zur Übertragung der Rechte an einer Erfindung gegenüber einem Dritten vor dem 18. Juli 2001 vertraglich verpflichtet haben, § 42 des Gesetzes über Arbeitnehmererfindungen in der bis zum 6. Februar 2002 geltenden Fassung bis zum 7. Februar 2003 weiter anzuwenden.</w:t>
      </w:r>
    </w:p>
    <w:p>
      <w:r>
        <w:t xml:space="preserve">(2) Für die vor dem 7. Februar 2002 von den an einer Hochschule Beschäftigten gemachten Erfindungen sind die Vorschriften des Gesetzes über Arbeitnehmererfindungen in der bis zum 6. Februar 2002 geltenden Fassung anzuwenden. Das Recht der Professoren, Dozenten und wissenschaftlichen Assistenten an einer wissenschaftlichen Hochschule, dem Dienstherrn ihre vor dem 6. Februar 2002 gemachten Erfindungen anzubieten, bleibt unberührt.</w:t>
      </w:r>
    </w:p>
    <w:p>
      <w:r>
        <w:t xml:space="preserve">(3) Auf Erfindungen, die vor dem 1. Oktober 2009 gemeldet wurden, sind die Vorschriften dieses Gesetzes in der bis zum 30. September 2009 geltenden Fassung weiter anzuwenden. Für technische Verbesserungsvorschläge gilt Satz 1 entsprechend.</w:t>
      </w:r>
    </w:p>
    <w:p>
      <w:r>
        <w:rPr>
          <w:color w:val="555555"/>
          <w:sz w:val="17"/>
        </w:rPr>
        <w:t xml:space="preserve">Zitiervorschlag: § 43 ArbnErfG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https://recht.nulegal.eu/gesetze/ArbnErfG/43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