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ArbnErfG — Voraussetzungen für die Erhebung der Klage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Rechte oder Rechtsverhältnisse, die in diesem Gesetz geregelt sind, können im Wege der Klage erst geltend gemacht werden, nachdem ein Verfahren vor der Schiedsstelle vorausgegangen ist.</w:t>
      </w:r>
    </w:p>
    <w:p>
      <w:r>
        <w:t xml:space="preserve">(2) Dies gilt nicht,</w:t>
      </w:r>
    </w:p>
    <w:p>
      <w:pPr>
        <w:ind w:left="420"/>
      </w:pPr>
      <w:r>
        <w:t xml:space="preserve">1. wenn mit der Klage Rechte aus einer Vereinbarung (§§ 12, 19, 22, 34) geltend gemacht werden oder die Klage darauf gestützt wird, daß die Vereinbarung nicht rechtswirksam sei;</w:t>
      </w:r>
    </w:p>
    <w:p>
      <w:pPr>
        <w:ind w:left="420"/>
      </w:pPr>
      <w:r>
        <w:t xml:space="preserve">2. wenn seit der Anrufung der Schiedsstelle sechs Monate verstrichen sind;</w:t>
      </w:r>
    </w:p>
    <w:p>
      <w:pPr>
        <w:ind w:left="420"/>
      </w:pPr>
      <w:r>
        <w:t xml:space="preserve">3. wenn der Arbeitnehmer aus dem Betrieb des Arbeitgebers ausgeschieden ist;</w:t>
      </w:r>
    </w:p>
    <w:p>
      <w:pPr>
        <w:ind w:left="420"/>
      </w:pPr>
      <w:r>
        <w:t xml:space="preserve">4. wenn die Parteien vereinbart haben, von der Anrufung der Schiedsstelle abzusehen. Diese Vereinbarung kann erst getroffen werden, nachdem der Streitfall (§ 28) eingetreten ist. Sie bedarf der Schriftform.</w:t>
      </w:r>
    </w:p>
    <w:p>
      <w:r>
        <w:t xml:space="preserve">(3) Einer Vereinbarung nach Absatz 2 Nr. 4 steht es gleich, wenn beide Parteien zur Hauptsache mündlich verhandelt haben, ohne geltend zu machen, daß die Schiedsstelle nicht angerufen worden ist.</w:t>
      </w:r>
    </w:p>
    <w:p>
      <w:r>
        <w:t xml:space="preserve">(4) Der vorherigen Anrufung der Schiedsstelle bedarf es ferner nicht für Anträge auf Anordnung eines Arrestes oder einer einstweiligen Verfügung.</w:t>
      </w:r>
    </w:p>
    <w:p>
      <w:r>
        <w:t xml:space="preserve">(5) Die Klage ist nach Erlaß eines Arrestes oder einer einstweiligen Verfügung ohne die Beschränkung des Absatzes 1 zulässig, wenn der Partei nach den §§ 926, 936 der Zivilprozeßordnung eine Frist zur Erhebung der Klage bestimmt worden ist.</w:t>
      </w:r>
    </w:p>
    <w:p>
      <w:r>
        <w:rPr>
          <w:color w:val="555555"/>
          <w:sz w:val="17"/>
        </w:rPr>
        <w:t xml:space="preserve">Zitiervorschlag: § 37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