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ArbnErfG — Verfahren vor der Schiedsstelle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 vor der Schiedsstelle sind §§ 41 bis 48, 1042 Abs. 1 und § 1050 der Zivilprozeßordnung sinngemäß anzuwenden. § 1042 Abs. 2 der Zivilprozeßordnung ist mit der Maßgabe sinngemäß anzuwenden, daß auch Patentanwälte und Erlaubnisscheininhaber (Artikel 3 des Zweiten Gesetzes zur Änderung und Überleitung von Vorschriften auf dem Gebiet des gewerblichen Rechtsschutzes vom 2. Juli 1949 - WiGBl. S. 179) sowie Verbandsvertreter im Sinne des § 11 des Arbeitsgerichtsgesetzes von der Schiedsstelle nicht zurückgewiesen werden dürfen.</w:t>
      </w:r>
    </w:p>
    <w:p>
      <w:r>
        <w:t xml:space="preserve">(2) Im übrigen bestimmt die Schiedsstelle das Verfahren selbst.</w:t>
      </w:r>
    </w:p>
    <w:p>
      <w:r>
        <w:rPr>
          <w:color w:val="555555"/>
          <w:sz w:val="17"/>
        </w:rPr>
        <w:t xml:space="preserve">Zitiervorschlag: § 33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