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ArbnErfG — Errichtung der Schiedsstelle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Schiedsstelle wird beim Deutschen Patent- und Markenamt errichtet.</w:t>
      </w:r>
    </w:p>
    <w:p>
      <w:r>
        <w:t xml:space="preserve">(2) Die Schiedsstelle kann außerhalb ihres Sitzes zusammentreten.</w:t>
      </w:r>
    </w:p>
    <w:p>
      <w:r>
        <w:rPr>
          <w:color w:val="555555"/>
          <w:sz w:val="17"/>
        </w:rPr>
        <w:t xml:space="preserve">Zitiervorschlag: § 29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