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ArbnErfG — Geheimhaltungspflicht</w:t>
      </w:r>
    </w:p>
    <w:p>
      <w:r>
        <w:rPr>
          <w:color w:val="555555"/>
          <w:sz w:val="18"/>
        </w:rPr>
        <w:t xml:space="preserve">Gesetz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Arbeitgeber hat die ihm gemeldete oder mitgeteilte Erfindung eines Arbeitnehmers so lange geheimzuhalten, als dessen berechtigte Belange dies erfordern.</w:t>
      </w:r>
    </w:p>
    <w:p>
      <w:r>
        <w:t xml:space="preserve">(2) Der Arbeitnehmer hat eine Diensterfindung so lange geheimzuhalten, als sie nicht frei geworden ist (§ 8).</w:t>
      </w:r>
    </w:p>
    <w:p>
      <w:r>
        <w:t xml:space="preserve">(3) Sonstige Personen, die auf Grund dieses Gesetzes von einer Erfindung Kenntnis erlangt haben, dürfen ihre Kenntnis weder auswerten noch bekanntgeben.</w:t>
      </w:r>
    </w:p>
    <w:p>
      <w:r>
        <w:rPr>
          <w:color w:val="555555"/>
          <w:sz w:val="17"/>
        </w:rPr>
        <w:t xml:space="preserve">Zitiervorschlag: § 24 ArbnErfG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