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ArbnErfG</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Für technische Verbesserungsvorschläge, die dem Arbeitgeber eine ähnliche Vorzugsstellung gewähren wie ein gewerbliches Schutzrecht, hat der Arbeitnehmer gegen den Arbeitgeber einen Anspruch auf angemessene Vergütung, sobald dieser sie verwertet. Die Bestimmungen der §§ 9 und 12 sind sinngemäß anzuwenden.</w:t>
      </w:r>
    </w:p>
    <w:p>
      <w:r>
        <w:t xml:space="preserve">(2) Im übrigen bleibt die Behandlung technischer Verbesserungsvorschläge der Regelung durch Tarifvertrag oder Betriebsvereinbarung überlassen.</w:t>
      </w:r>
    </w:p>
    <w:p>
      <w:r>
        <w:rPr>
          <w:color w:val="555555"/>
          <w:sz w:val="17"/>
        </w:rPr>
        <w:t xml:space="preserve">Zitiervorschlag: § 20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